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line="100" w:lineRule="atLeast"/>
        <w:jc w:val="center"/>
      </w:pPr>
      <w:r>
        <w:rPr>
          <w:rFonts w:ascii="Times New Roman" w:cs="Times New Roman" w:hAnsi="Times New Roman"/>
          <w:sz w:val="52"/>
          <w:szCs w:val="52"/>
        </w:rPr>
        <w:t>Universidad Regional Autónoma de los Andes</w:t>
      </w:r>
    </w:p>
    <w:p>
      <w:pPr>
        <w:pStyle w:val="style0"/>
        <w:spacing w:line="100" w:lineRule="atLeast"/>
        <w:jc w:val="center"/>
      </w:pPr>
      <w:r>
        <w:rPr>
          <w:rFonts w:ascii="Times New Roman" w:cs="Times New Roman" w:hAnsi="Times New Roman"/>
          <w:sz w:val="52"/>
          <w:szCs w:val="52"/>
        </w:rPr>
        <w:t>“</w:t>
      </w:r>
      <w:r>
        <w:rPr>
          <w:rFonts w:ascii="Times New Roman" w:cs="Times New Roman" w:hAnsi="Times New Roman"/>
          <w:sz w:val="52"/>
          <w:szCs w:val="52"/>
        </w:rPr>
        <w:t>U</w:t>
        <w:drawing>
          <wp:anchor allowOverlap="1" behindDoc="0" distB="0" distL="0" distR="0" distT="0" layoutInCell="1" locked="0" relativeHeight="0" simplePos="0">
            <wp:simplePos x="0" y="0"/>
            <wp:positionH relativeFrom="character">
              <wp:posOffset>2025015</wp:posOffset>
            </wp:positionH>
            <wp:positionV relativeFrom="line">
              <wp:posOffset>370205</wp:posOffset>
            </wp:positionV>
            <wp:extent cx="1562735" cy="1341120"/>
            <wp:effectExtent b="0" l="0" r="0" t="0"/>
            <wp:wrapNone/>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
                    <a:srcRect/>
                    <a:stretch>
                      <a:fillRect/>
                    </a:stretch>
                  </pic:blipFill>
                  <pic:spPr bwMode="auto">
                    <a:xfrm>
                      <a:off x="0" y="0"/>
                      <a:ext cx="1562735" cy="1341120"/>
                    </a:xfrm>
                    <a:prstGeom prst="rect">
                      <a:avLst/>
                    </a:prstGeom>
                    <a:noFill/>
                    <a:ln w="9525">
                      <a:noFill/>
                      <a:miter lim="800000"/>
                      <a:headEnd/>
                      <a:tailEnd/>
                    </a:ln>
                  </pic:spPr>
                </pic:pic>
              </a:graphicData>
            </a:graphic>
          </wp:anchor>
        </w:drawing>
      </w:r>
      <w:r>
        <w:rPr>
          <w:rFonts w:ascii="Times New Roman" w:cs="Times New Roman" w:hAnsi="Times New Roman"/>
          <w:sz w:val="52"/>
          <w:szCs w:val="52"/>
        </w:rPr>
        <w:t>NIANDES”</w:t>
      </w:r>
    </w:p>
    <w:p>
      <w:pPr>
        <w:pStyle w:val="style0"/>
        <w:spacing w:line="100" w:lineRule="atLeast"/>
        <w:jc w:val="center"/>
      </w:pPr>
      <w:r>
        <w:rPr/>
      </w:r>
    </w:p>
    <w:p>
      <w:pPr>
        <w:pStyle w:val="style0"/>
        <w:tabs>
          <w:tab w:leader="none" w:pos="708" w:val="left"/>
          <w:tab w:leader="none" w:pos="2715" w:val="left"/>
        </w:tabs>
        <w:spacing w:line="100" w:lineRule="atLeast"/>
      </w:pPr>
      <w:r>
        <w:rPr>
          <w:rFonts w:ascii="Times New Roman" w:cs="Times New Roman" w:hAnsi="Times New Roman"/>
          <w:sz w:val="52"/>
          <w:szCs w:val="52"/>
        </w:rPr>
        <w:tab/>
      </w:r>
    </w:p>
    <w:p>
      <w:pPr>
        <w:pStyle w:val="style0"/>
        <w:spacing w:line="100" w:lineRule="atLeast"/>
        <w:jc w:val="center"/>
      </w:pPr>
      <w:r>
        <w:rPr/>
      </w:r>
    </w:p>
    <w:p>
      <w:pPr>
        <w:pStyle w:val="style0"/>
        <w:spacing w:line="100" w:lineRule="atLeast"/>
        <w:jc w:val="center"/>
      </w:pPr>
      <w:r>
        <w:rPr>
          <w:rFonts w:ascii="Times New Roman" w:cs="Times New Roman" w:hAnsi="Times New Roman"/>
          <w:sz w:val="44"/>
          <w:szCs w:val="44"/>
        </w:rPr>
        <w:t>Facultad Sistemas Mercantiles</w:t>
      </w:r>
    </w:p>
    <w:p>
      <w:pPr>
        <w:pStyle w:val="style0"/>
        <w:spacing w:line="100" w:lineRule="atLeast"/>
        <w:jc w:val="center"/>
      </w:pPr>
      <w:r>
        <w:rPr>
          <w:rFonts w:ascii="Times New Roman" w:cs="Times New Roman" w:hAnsi="Times New Roman"/>
          <w:sz w:val="44"/>
          <w:szCs w:val="44"/>
        </w:rPr>
        <w:t>Escuela Contabilidad y Auditoría</w:t>
      </w:r>
    </w:p>
    <w:p>
      <w:pPr>
        <w:pStyle w:val="style0"/>
        <w:spacing w:line="100" w:lineRule="atLeast"/>
        <w:jc w:val="both"/>
      </w:pPr>
      <w:r>
        <w:rPr>
          <w:rFonts w:ascii="Times New Roman" w:cs="Times New Roman" w:hAnsi="Times New Roman"/>
          <w:b/>
          <w:sz w:val="48"/>
          <w:szCs w:val="48"/>
        </w:rPr>
        <w:t>TEMA</w:t>
      </w:r>
      <w:r>
        <w:rPr>
          <w:rFonts w:ascii="Times New Roman" w:cs="Times New Roman" w:hAnsi="Times New Roman"/>
          <w:sz w:val="48"/>
          <w:szCs w:val="48"/>
        </w:rPr>
        <w:t xml:space="preserve">: </w:t>
      </w:r>
      <w:r>
        <w:rPr>
          <w:rFonts w:ascii="Times New Roman" w:cs="Times New Roman" w:hAnsi="Times New Roman"/>
          <w:sz w:val="44"/>
          <w:szCs w:val="44"/>
        </w:rPr>
        <w:t>Políticas de gastos para estabilizar el nivel de desembolsos en la “Cooperativa Rápido Nacional” de la cuidad de Tulcán.</w:t>
      </w:r>
      <w:r>
        <w:rPr>
          <w:rFonts w:ascii="Times New Roman" w:cs="Times New Roman" w:hAnsi="Times New Roman"/>
          <w:sz w:val="48"/>
          <w:szCs w:val="48"/>
        </w:rPr>
        <w:t xml:space="preserve"> </w:t>
      </w:r>
    </w:p>
    <w:p>
      <w:pPr>
        <w:pStyle w:val="style0"/>
        <w:spacing w:after="0" w:before="0" w:line="100" w:lineRule="atLeast"/>
        <w:jc w:val="center"/>
      </w:pPr>
      <w:r>
        <w:rPr>
          <w:rFonts w:ascii="Times New Roman" w:cs="Times New Roman" w:hAnsi="Times New Roman"/>
          <w:b/>
          <w:sz w:val="48"/>
          <w:szCs w:val="48"/>
        </w:rPr>
        <w:t>Autores:</w:t>
      </w:r>
      <w:r>
        <w:rPr>
          <w:rFonts w:ascii="Times New Roman" w:cs="Times New Roman" w:hAnsi="Times New Roman"/>
          <w:sz w:val="44"/>
          <w:szCs w:val="44"/>
        </w:rPr>
        <w:t xml:space="preserve"> Pozo Diana</w:t>
      </w:r>
    </w:p>
    <w:p>
      <w:pPr>
        <w:pStyle w:val="style0"/>
        <w:spacing w:after="0" w:before="0" w:line="100" w:lineRule="atLeast"/>
        <w:ind w:firstLine="708" w:left="2124" w:right="0"/>
      </w:pPr>
      <w:r>
        <w:rPr>
          <w:rFonts w:ascii="Times New Roman" w:cs="Times New Roman" w:hAnsi="Times New Roman"/>
          <w:sz w:val="44"/>
          <w:szCs w:val="44"/>
        </w:rPr>
        <w:t xml:space="preserve">             </w:t>
      </w:r>
      <w:r>
        <w:rPr>
          <w:rFonts w:ascii="Times New Roman" w:cs="Times New Roman" w:hAnsi="Times New Roman"/>
          <w:sz w:val="44"/>
          <w:szCs w:val="44"/>
        </w:rPr>
        <w:t>Tello Verónica</w:t>
      </w:r>
    </w:p>
    <w:p>
      <w:pPr>
        <w:pStyle w:val="style0"/>
        <w:spacing w:after="0" w:before="0" w:line="100" w:lineRule="atLeast"/>
        <w:ind w:firstLine="708" w:left="2832" w:right="0"/>
      </w:pPr>
      <w:r>
        <w:rPr>
          <w:rFonts w:ascii="Times New Roman" w:cs="Times New Roman" w:hAnsi="Times New Roman"/>
          <w:sz w:val="44"/>
          <w:szCs w:val="44"/>
        </w:rPr>
        <w:t xml:space="preserve">       </w:t>
      </w:r>
      <w:r>
        <w:rPr>
          <w:rFonts w:ascii="Times New Roman" w:cs="Times New Roman" w:hAnsi="Times New Roman"/>
          <w:sz w:val="44"/>
          <w:szCs w:val="44"/>
        </w:rPr>
        <w:t>Vizcaíno Mariela</w:t>
      </w:r>
    </w:p>
    <w:p>
      <w:pPr>
        <w:pStyle w:val="style0"/>
        <w:tabs>
          <w:tab w:leader="none" w:pos="708" w:val="left"/>
          <w:tab w:leader="none" w:pos="5745" w:val="left"/>
        </w:tabs>
        <w:spacing w:after="0" w:before="0" w:line="100" w:lineRule="atLeast"/>
      </w:pPr>
      <w:bookmarkStart w:id="0" w:name="_GoBack"/>
      <w:bookmarkEnd w:id="0"/>
      <w:r>
        <w:rPr>
          <w:rFonts w:ascii="Times New Roman" w:cs="Times New Roman" w:hAnsi="Times New Roman"/>
          <w:b/>
          <w:sz w:val="44"/>
          <w:szCs w:val="44"/>
        </w:rPr>
        <w:tab/>
      </w:r>
    </w:p>
    <w:p>
      <w:pPr>
        <w:pStyle w:val="style0"/>
        <w:spacing w:after="0" w:before="0" w:line="100" w:lineRule="atLeast"/>
        <w:jc w:val="center"/>
      </w:pPr>
      <w:r>
        <w:rPr>
          <w:rFonts w:ascii="Times New Roman" w:cs="Times New Roman" w:hAnsi="Times New Roman"/>
          <w:b/>
          <w:sz w:val="48"/>
          <w:szCs w:val="48"/>
        </w:rPr>
        <w:t xml:space="preserve">Asesor: Ing. </w:t>
      </w:r>
      <w:r>
        <w:rPr>
          <w:rFonts w:ascii="Times New Roman" w:cs="Times New Roman" w:hAnsi="Times New Roman"/>
          <w:sz w:val="44"/>
          <w:szCs w:val="44"/>
        </w:rPr>
        <w:t>Danny Sandoval</w:t>
      </w:r>
    </w:p>
    <w:p>
      <w:pPr>
        <w:pStyle w:val="style0"/>
        <w:spacing w:line="100" w:lineRule="atLeast"/>
        <w:jc w:val="right"/>
      </w:pPr>
      <w:r>
        <w:rPr/>
      </w:r>
    </w:p>
    <w:p>
      <w:pPr>
        <w:pStyle w:val="style0"/>
        <w:spacing w:line="360" w:lineRule="auto"/>
        <w:jc w:val="right"/>
      </w:pPr>
      <w:r>
        <w:rPr/>
      </w:r>
    </w:p>
    <w:p>
      <w:pPr>
        <w:pStyle w:val="style0"/>
        <w:spacing w:line="360" w:lineRule="auto"/>
        <w:jc w:val="right"/>
      </w:pPr>
      <w:r>
        <w:rPr/>
      </w:r>
    </w:p>
    <w:p>
      <w:pPr>
        <w:pStyle w:val="style0"/>
        <w:spacing w:line="360" w:lineRule="auto"/>
        <w:jc w:val="right"/>
      </w:pPr>
      <w:r>
        <w:rPr>
          <w:rFonts w:ascii="Times New Roman" w:cs="Times New Roman" w:hAnsi="Times New Roman"/>
          <w:b/>
          <w:sz w:val="44"/>
          <w:szCs w:val="44"/>
          <w:lang w:val="es-ES"/>
        </w:rPr>
        <w:t>Tulcán, Ecuador del 2012</w:t>
      </w:r>
    </w:p>
    <w:p>
      <w:pPr>
        <w:pStyle w:val="style0"/>
        <w:spacing w:line="360" w:lineRule="auto"/>
        <w:jc w:val="center"/>
      </w:pPr>
      <w:r>
        <w:rPr>
          <w:rFonts w:ascii="Times New Roman" w:cs="Times New Roman" w:eastAsia="Calibri" w:hAnsi="Times New Roman"/>
          <w:b/>
          <w:sz w:val="24"/>
          <w:szCs w:val="24"/>
          <w:lang w:eastAsia="en-US"/>
        </w:rPr>
        <w:t>PERFIL DEL PROYECTO</w:t>
      </w:r>
    </w:p>
    <w:p>
      <w:pPr>
        <w:pStyle w:val="style0"/>
        <w:spacing w:line="360" w:lineRule="auto"/>
        <w:jc w:val="both"/>
      </w:pPr>
      <w:r>
        <w:rPr>
          <w:rFonts w:ascii="Times New Roman" w:cs="Times New Roman" w:eastAsia="Calibri" w:hAnsi="Times New Roman"/>
          <w:b/>
          <w:sz w:val="24"/>
          <w:szCs w:val="24"/>
          <w:lang w:eastAsia="en-US"/>
        </w:rPr>
        <w:t>TEMA:</w:t>
      </w:r>
      <w:r>
        <w:rPr>
          <w:rFonts w:ascii="Times New Roman" w:cs="Times New Roman" w:eastAsia="Calibri" w:hAnsi="Times New Roman"/>
          <w:sz w:val="24"/>
          <w:szCs w:val="24"/>
          <w:lang w:eastAsia="en-US"/>
        </w:rPr>
        <w:t xml:space="preserve"> “</w:t>
      </w:r>
      <w:r>
        <w:rPr>
          <w:rFonts w:ascii="Times New Roman" w:cs="Times New Roman" w:hAnsi="Times New Roman"/>
          <w:sz w:val="24"/>
          <w:szCs w:val="24"/>
        </w:rPr>
        <w:t>Políticas de gastos para estabilizar el nivel de desembolsos en la Cooperativa Rápido Nacional del año 2010 de la ciudad de Tulcán.</w:t>
      </w:r>
      <w:r>
        <w:rPr>
          <w:rFonts w:ascii="Times New Roman" w:cs="Times New Roman" w:eastAsia="Calibri" w:hAnsi="Times New Roman"/>
          <w:sz w:val="24"/>
          <w:szCs w:val="24"/>
          <w:lang w:eastAsia="en-US"/>
        </w:rPr>
        <w:t>”</w:t>
      </w:r>
    </w:p>
    <w:p>
      <w:pPr>
        <w:pStyle w:val="style0"/>
        <w:spacing w:line="360" w:lineRule="auto"/>
        <w:jc w:val="both"/>
      </w:pPr>
      <w:r>
        <w:rPr>
          <w:rFonts w:ascii="Times New Roman" w:cs="Times New Roman" w:eastAsia="Calibri" w:hAnsi="Times New Roman"/>
          <w:b/>
          <w:sz w:val="24"/>
          <w:szCs w:val="24"/>
          <w:lang w:eastAsia="en-US"/>
        </w:rPr>
        <w:t>OBJETO DE TRASFORMACIÓN</w:t>
      </w:r>
    </w:p>
    <w:p>
      <w:pPr>
        <w:pStyle w:val="style0"/>
        <w:spacing w:line="360" w:lineRule="auto"/>
        <w:jc w:val="both"/>
      </w:pPr>
      <w:r>
        <w:rPr>
          <w:rFonts w:ascii="Times New Roman" w:cs="Times New Roman" w:eastAsia="Calibri" w:hAnsi="Times New Roman"/>
          <w:sz w:val="24"/>
          <w:szCs w:val="24"/>
          <w:lang w:eastAsia="en-US"/>
        </w:rPr>
        <w:t xml:space="preserve">En Ecuador </w:t>
      </w:r>
      <w:r>
        <w:rPr>
          <w:rFonts w:ascii="Times New Roman" w:cs="Times New Roman" w:hAnsi="Times New Roman"/>
          <w:sz w:val="24"/>
          <w:szCs w:val="24"/>
        </w:rPr>
        <w:t xml:space="preserve">según el Instituto Nacional de Estadísticas y Censos el transporte en la economía ecuatoriana en 1999, año de la crisis financiera en Ecuador, el PIB transporte y almacenamiento tuvo un decrecimiento de -0,04%, sin embargo en los últimos nueve años se ha recuperado llegando a una tasa de 5,45% en el 2008 y 3,69% en el 2009, este último año se desató la crisis financiera internacional lo que podría explicar esta baja en la tasa de crecimiento de un 1.76 puntos porcentuales. El transporte es una actividad económica imprescindible para el funcionamiento de la economía ecuatoriana, su aporte al producto interno bruto en el período 1995 a 2009 ha permanecido estable con valores que fluctúan entre el 7,2% y el 8,7% . Además se ha observado que no existe un registro adecuado en las operaciones contables y financieras de las cooperativas de taxis, </w:t>
      </w:r>
      <w:r>
        <w:rPr>
          <w:rFonts w:ascii="Times New Roman" w:cs="Times New Roman" w:hAnsi="Times New Roman"/>
          <w:sz w:val="24"/>
        </w:rPr>
        <w:t>causando una deficiente administración financiera e incluso afectando de esta manera el bajo nivel de rentabilidad.</w:t>
      </w:r>
    </w:p>
    <w:p>
      <w:pPr>
        <w:pStyle w:val="style0"/>
        <w:spacing w:line="360" w:lineRule="auto"/>
        <w:jc w:val="both"/>
      </w:pPr>
      <w:r>
        <w:rPr>
          <w:rFonts w:ascii="Times New Roman" w:cs="Times New Roman" w:hAnsi="Times New Roman"/>
          <w:sz w:val="24"/>
          <w:szCs w:val="24"/>
        </w:rPr>
        <w:t>Según la Agencia Nacional de Tránsito en la provincia del Carchi, se establece que las autoridades de las diferentes cooperativas no aplican un control financiero obteniendo como resultado la sobre inversión de activos no productivos, afectando de esta manera la disminución de la utilidad al final de un periodo contable.</w:t>
      </w:r>
    </w:p>
    <w:p>
      <w:pPr>
        <w:pStyle w:val="style0"/>
        <w:spacing w:line="360" w:lineRule="auto"/>
        <w:jc w:val="both"/>
      </w:pPr>
      <w:r>
        <w:rPr>
          <w:rFonts w:ascii="Times New Roman" w:cs="Times New Roman" w:hAnsi="Times New Roman"/>
          <w:sz w:val="24"/>
        </w:rPr>
        <w:t>En la Cooperativa de Taxis “Rápido Nacional” de la ciudad de Tulcán mediante información requerida de los estados financieros, nos da a conocer la evidencia suficiente del alto nivel de gastos con una estimación del 52% en su estado de resultados, dichos desembolsos han sido ejecutados en diferentes actividades lo que es ineficiente debido a la falta de capacitación,  y poca preparación académica, teniendo como efecto la disminución del ahorro efectivo de las cooperativas.</w:t>
      </w:r>
    </w:p>
    <w:p>
      <w:pPr>
        <w:pStyle w:val="style0"/>
        <w:spacing w:line="360" w:lineRule="auto"/>
        <w:jc w:val="both"/>
      </w:pPr>
      <w:r>
        <w:rPr>
          <w:rFonts w:ascii="Times New Roman" w:cs="Times New Roman" w:eastAsia="Calibri" w:hAnsi="Times New Roman"/>
          <w:sz w:val="24"/>
          <w:szCs w:val="24"/>
          <w:lang w:eastAsia="en-US"/>
        </w:rPr>
        <w:t>Es por ello que se ha realizado el siguiente objeto de transformación ¿Cómo estabilizar la ineficiencia financiera en la generación de egresos en la Cooperativa “Rápido Nacional” en la ciudad de Tulcán?</w:t>
      </w:r>
    </w:p>
    <w:p>
      <w:pPr>
        <w:pStyle w:val="style0"/>
        <w:spacing w:line="360" w:lineRule="auto"/>
        <w:jc w:val="both"/>
      </w:pPr>
      <w:r>
        <w:rPr>
          <w:rFonts w:ascii="Times New Roman" w:cs="Times New Roman" w:eastAsia="Calibri" w:hAnsi="Times New Roman"/>
          <w:b/>
          <w:sz w:val="24"/>
          <w:szCs w:val="24"/>
          <w:lang w:eastAsia="en-US"/>
        </w:rPr>
        <w:t>OBJETIVO GENERAL</w:t>
      </w:r>
    </w:p>
    <w:p>
      <w:pPr>
        <w:pStyle w:val="style0"/>
        <w:spacing w:line="360" w:lineRule="auto"/>
        <w:jc w:val="both"/>
      </w:pPr>
      <w:r>
        <w:rPr>
          <w:rFonts w:ascii="Times New Roman" w:cs="Times New Roman" w:hAnsi="Times New Roman"/>
          <w:sz w:val="24"/>
          <w:szCs w:val="24"/>
        </w:rPr>
        <w:t>Diseñar políticas de gastos para estabilizar el nivel de desembolsos.</w:t>
      </w:r>
    </w:p>
    <w:p>
      <w:pPr>
        <w:pStyle w:val="style0"/>
        <w:spacing w:line="360" w:lineRule="auto"/>
        <w:jc w:val="both"/>
      </w:pPr>
      <w:r>
        <w:rPr>
          <w:rFonts w:ascii="Times New Roman" w:cs="Times New Roman" w:hAnsi="Times New Roman"/>
          <w:b/>
          <w:sz w:val="24"/>
          <w:szCs w:val="24"/>
          <w:lang w:eastAsia="en-US"/>
        </w:rPr>
        <w:t>ESQUEMA DE CONTENIDOS</w:t>
      </w:r>
    </w:p>
    <w:p>
      <w:pPr>
        <w:pStyle w:val="style0"/>
      </w:pPr>
      <w:r>
        <w:rPr>
          <w:b w:val="false"/>
          <w:bCs w:val="false"/>
          <w:color w:val="000000"/>
          <w:sz w:val="24"/>
          <w:szCs w:val="24"/>
        </w:rPr>
        <w:t>1</w:t>
      </w:r>
      <w:r>
        <w:rPr>
          <w:rFonts w:ascii="FreeSans" w:hAnsi="FreeSans"/>
          <w:b w:val="false"/>
          <w:bCs w:val="false"/>
          <w:color w:val="000000"/>
          <w:sz w:val="24"/>
          <w:szCs w:val="24"/>
        </w:rPr>
        <w:t>. OBJETIVOS, INSTRUMENTOS Y POLITICAS: UN MARCO CONCEPTUAL BÁSICO</w:t>
      </w:r>
    </w:p>
    <w:p>
      <w:pPr>
        <w:pStyle w:val="style0"/>
      </w:pPr>
      <w:r>
        <w:rPr>
          <w:rFonts w:ascii="FreeSans" w:hAnsi="FreeSans"/>
          <w:b w:val="false"/>
          <w:bCs w:val="false"/>
          <w:sz w:val="24"/>
          <w:szCs w:val="24"/>
        </w:rPr>
        <w:t>1.1 Taxonomía</w:t>
      </w:r>
      <w:r>
        <w:rPr>
          <w:rFonts w:ascii="FreeSans" w:hAnsi="FreeSans"/>
          <w:sz w:val="24"/>
          <w:szCs w:val="24"/>
        </w:rPr>
        <w:t xml:space="preserve"> de las políticas económicas</w:t>
      </w:r>
    </w:p>
    <w:p>
      <w:pPr>
        <w:pStyle w:val="style0"/>
        <w:ind w:hanging="0" w:left="-1418" w:right="0"/>
      </w:pPr>
      <w:r>
        <w:rPr>
          <w:rFonts w:ascii="FreeSans" w:hAnsi="FreeSans"/>
          <w:sz w:val="24"/>
          <w:szCs w:val="24"/>
        </w:rPr>
        <w:tab/>
        <w:tab/>
        <w:tab/>
        <w:t>1.1.1 Políticas cuantitativas, cualitativas y de reformas</w:t>
      </w:r>
    </w:p>
    <w:p>
      <w:pPr>
        <w:pStyle w:val="style0"/>
        <w:ind w:hanging="0" w:left="-1418" w:right="0"/>
      </w:pPr>
      <w:r>
        <w:rPr>
          <w:rFonts w:ascii="FreeSans" w:hAnsi="FreeSans"/>
          <w:sz w:val="24"/>
          <w:szCs w:val="24"/>
        </w:rPr>
        <w:tab/>
        <w:tab/>
        <w:tab/>
        <w:t>1.1.2 Políticas macro y microeconómicas</w:t>
      </w:r>
    </w:p>
    <w:p>
      <w:pPr>
        <w:pStyle w:val="style0"/>
        <w:ind w:hanging="360" w:left="0" w:right="0"/>
      </w:pPr>
      <w:r>
        <w:rPr>
          <w:rFonts w:ascii="FreeSans" w:hAnsi="FreeSans"/>
          <w:sz w:val="24"/>
          <w:szCs w:val="24"/>
        </w:rPr>
        <w:tab/>
        <w:tab/>
        <w:t xml:space="preserve">           1.1.3 Políticas a corto y largo plazo</w:t>
      </w:r>
    </w:p>
    <w:p>
      <w:pPr>
        <w:pStyle w:val="style0"/>
        <w:ind w:hanging="360" w:left="0" w:right="0"/>
      </w:pPr>
      <w:r>
        <w:rPr>
          <w:rFonts w:ascii="FreeSans" w:hAnsi="FreeSans"/>
          <w:sz w:val="24"/>
          <w:szCs w:val="24"/>
        </w:rPr>
        <w:t xml:space="preserve">     </w:t>
      </w:r>
      <w:r>
        <w:rPr>
          <w:rFonts w:ascii="FreeSans" w:hAnsi="FreeSans"/>
          <w:sz w:val="24"/>
          <w:szCs w:val="24"/>
        </w:rPr>
        <w:t>1.2 Fines generales, objetivos económicos e instrumentos</w:t>
      </w:r>
    </w:p>
    <w:p>
      <w:pPr>
        <w:pStyle w:val="style0"/>
      </w:pPr>
      <w:r>
        <w:rPr>
          <w:rFonts w:ascii="FreeSans" w:hAnsi="FreeSans"/>
          <w:sz w:val="24"/>
          <w:szCs w:val="24"/>
        </w:rPr>
        <w:tab/>
        <w:t>1.2.1 Objetivos económicos, objetivos sociales.</w:t>
      </w:r>
    </w:p>
    <w:p>
      <w:pPr>
        <w:pStyle w:val="style0"/>
      </w:pPr>
      <w:r>
        <w:rPr>
          <w:rFonts w:ascii="FreeSans" w:hAnsi="FreeSans"/>
          <w:sz w:val="24"/>
          <w:szCs w:val="24"/>
        </w:rPr>
        <w:t xml:space="preserve">1.3 Fijación de los objetivos.Instrumetos: conceptos </w:t>
      </w:r>
    </w:p>
    <w:p>
      <w:pPr>
        <w:pStyle w:val="style0"/>
      </w:pPr>
      <w:r>
        <w:rPr>
          <w:rFonts w:ascii="FreeSans" w:hAnsi="FreeSans"/>
          <w:sz w:val="24"/>
          <w:szCs w:val="24"/>
        </w:rPr>
        <w:tab/>
        <w:t>1.3.1 Tipos de instrumentos</w:t>
      </w:r>
    </w:p>
    <w:p>
      <w:pPr>
        <w:pStyle w:val="style0"/>
      </w:pPr>
      <w:r>
        <w:rPr>
          <w:rFonts w:ascii="FreeSans" w:hAnsi="FreeSans"/>
          <w:sz w:val="24"/>
          <w:szCs w:val="24"/>
        </w:rPr>
        <w:tab/>
        <w:t>1.3.2 Observaciones sobre los instrumentos</w:t>
      </w:r>
    </w:p>
    <w:p>
      <w:pPr>
        <w:pStyle w:val="style0"/>
      </w:pPr>
      <w:r>
        <w:rPr>
          <w:rFonts w:ascii="FreeSans" w:hAnsi="FreeSans"/>
          <w:sz w:val="24"/>
          <w:szCs w:val="24"/>
        </w:rPr>
        <w:t>1.4 Una propuesta de integracón de los objetivos y las politicas</w:t>
      </w:r>
    </w:p>
    <w:p>
      <w:pPr>
        <w:pStyle w:val="style0"/>
      </w:pPr>
      <w:r>
        <w:rPr>
          <w:rFonts w:ascii="FreeSans" w:hAnsi="FreeSans"/>
          <w:b w:val="false"/>
          <w:bCs w:val="false"/>
          <w:sz w:val="24"/>
          <w:szCs w:val="24"/>
        </w:rPr>
        <w:t>1.5 Conceptos claves.</w:t>
      </w:r>
    </w:p>
    <w:p>
      <w:pPr>
        <w:pStyle w:val="style0"/>
        <w:jc w:val="both"/>
      </w:pPr>
      <w:r>
        <w:rPr>
          <w:rFonts w:ascii="Liberation Sans Narrow" w:hAnsi="Liberation Sans Narrow"/>
          <w:sz w:val="24"/>
          <w:szCs w:val="24"/>
        </w:rPr>
        <w:t xml:space="preserve">    </w:t>
      </w:r>
      <w:r>
        <w:rPr>
          <w:rFonts w:ascii="Liberation Sans Narrow" w:hAnsi="Liberation Sans Narrow"/>
          <w:b/>
          <w:bCs/>
          <w:color w:val="000080"/>
          <w:sz w:val="24"/>
          <w:szCs w:val="24"/>
        </w:rPr>
        <w:t xml:space="preserve">  </w:t>
      </w:r>
      <w:r>
        <w:rPr>
          <w:rFonts w:ascii="Century Schoolbook L" w:hAnsi="Century Schoolbook L"/>
          <w:b w:val="false"/>
          <w:bCs w:val="false"/>
          <w:color w:val="auto"/>
          <w:sz w:val="24"/>
          <w:szCs w:val="24"/>
        </w:rPr>
        <w:t>1. LA EMPRESA</w:t>
      </w:r>
    </w:p>
    <w:p>
      <w:pPr>
        <w:pStyle w:val="style0"/>
        <w:numPr>
          <w:ilvl w:val="1"/>
          <w:numId w:val="2"/>
        </w:numPr>
        <w:jc w:val="both"/>
      </w:pPr>
      <w:r>
        <w:rPr>
          <w:rFonts w:ascii="Century Schoolbook L" w:hAnsi="Century Schoolbook L"/>
          <w:b w:val="false"/>
          <w:bCs w:val="false"/>
          <w:color w:val="auto"/>
          <w:sz w:val="24"/>
          <w:szCs w:val="24"/>
        </w:rPr>
        <w:t>Deficicion</w:t>
      </w:r>
    </w:p>
    <w:p>
      <w:pPr>
        <w:pStyle w:val="style0"/>
        <w:numPr>
          <w:ilvl w:val="1"/>
          <w:numId w:val="2"/>
        </w:numPr>
        <w:jc w:val="both"/>
      </w:pPr>
      <w:r>
        <w:rPr>
          <w:rFonts w:ascii="Century Schoolbook L" w:hAnsi="Century Schoolbook L"/>
          <w:b w:val="false"/>
          <w:bCs w:val="false"/>
          <w:color w:val="auto"/>
          <w:sz w:val="24"/>
          <w:szCs w:val="24"/>
        </w:rPr>
        <w:t>Objetivos</w:t>
      </w:r>
    </w:p>
    <w:p>
      <w:pPr>
        <w:pStyle w:val="style0"/>
        <w:numPr>
          <w:ilvl w:val="1"/>
          <w:numId w:val="2"/>
        </w:numPr>
        <w:jc w:val="both"/>
      </w:pPr>
      <w:r>
        <w:rPr>
          <w:rFonts w:ascii="Century Schoolbook L" w:hAnsi="Century Schoolbook L"/>
          <w:b w:val="false"/>
          <w:bCs w:val="false"/>
          <w:color w:val="auto"/>
          <w:sz w:val="24"/>
          <w:szCs w:val="24"/>
        </w:rPr>
        <w:t>Tipos de empresas</w:t>
      </w:r>
    </w:p>
    <w:p>
      <w:pPr>
        <w:pStyle w:val="style0"/>
        <w:numPr>
          <w:ilvl w:val="0"/>
          <w:numId w:val="3"/>
        </w:numPr>
        <w:jc w:val="both"/>
      </w:pPr>
      <w:r>
        <w:rPr>
          <w:rFonts w:ascii="Century Schoolbook L" w:hAnsi="Century Schoolbook L"/>
          <w:b w:val="false"/>
          <w:bCs w:val="false"/>
          <w:color w:val="auto"/>
          <w:sz w:val="24"/>
          <w:szCs w:val="24"/>
        </w:rPr>
        <w:t>PANORAMA GENERAL DE ADMINISTRACION FINANCIERA.</w:t>
      </w:r>
    </w:p>
    <w:p>
      <w:pPr>
        <w:pStyle w:val="style0"/>
        <w:jc w:val="both"/>
      </w:pPr>
      <w:r>
        <w:rPr>
          <w:rFonts w:ascii="Century Schoolbook L" w:hAnsi="Century Schoolbook L"/>
          <w:b w:val="false"/>
          <w:bCs w:val="false"/>
          <w:color w:val="auto"/>
          <w:sz w:val="24"/>
          <w:szCs w:val="24"/>
        </w:rPr>
        <w:t>2.1 Concepto de finanzas</w:t>
      </w:r>
    </w:p>
    <w:p>
      <w:pPr>
        <w:pStyle w:val="style0"/>
        <w:jc w:val="both"/>
      </w:pPr>
      <w:r>
        <w:rPr>
          <w:rFonts w:ascii="Century Schoolbook L" w:hAnsi="Century Schoolbook L"/>
          <w:b w:val="false"/>
          <w:bCs w:val="false"/>
          <w:color w:val="auto"/>
          <w:sz w:val="24"/>
          <w:szCs w:val="24"/>
        </w:rPr>
        <w:t>2.2 Objetivo de finanzas.</w:t>
      </w:r>
    </w:p>
    <w:p>
      <w:pPr>
        <w:pStyle w:val="style0"/>
        <w:jc w:val="both"/>
      </w:pPr>
      <w:r>
        <w:rPr>
          <w:rFonts w:ascii="Century Schoolbook L" w:hAnsi="Century Schoolbook L"/>
          <w:b w:val="false"/>
          <w:bCs w:val="false"/>
          <w:color w:val="auto"/>
          <w:sz w:val="24"/>
          <w:szCs w:val="24"/>
        </w:rPr>
        <w:t>2.3 Organizacion de las funciones de la administración financiera.</w:t>
      </w:r>
    </w:p>
    <w:p>
      <w:pPr>
        <w:pStyle w:val="style0"/>
        <w:jc w:val="both"/>
      </w:pPr>
      <w:r>
        <w:rPr>
          <w:rFonts w:ascii="Century Schoolbook L" w:hAnsi="Century Schoolbook L"/>
          <w:b w:val="false"/>
          <w:bCs w:val="false"/>
          <w:color w:val="auto"/>
          <w:sz w:val="24"/>
          <w:szCs w:val="24"/>
        </w:rPr>
        <w:t>2.4 Principios de finanzas</w:t>
      </w:r>
    </w:p>
    <w:p>
      <w:pPr>
        <w:pStyle w:val="style0"/>
        <w:jc w:val="both"/>
      </w:pPr>
      <w:r>
        <w:rPr>
          <w:rFonts w:ascii="Century Schoolbook L" w:hAnsi="Century Schoolbook L"/>
          <w:b w:val="false"/>
          <w:bCs w:val="false"/>
          <w:color w:val="auto"/>
          <w:sz w:val="24"/>
          <w:szCs w:val="24"/>
        </w:rPr>
        <w:t>2.5 Mercados financieros</w:t>
      </w:r>
    </w:p>
    <w:p>
      <w:pPr>
        <w:pStyle w:val="style0"/>
        <w:jc w:val="both"/>
      </w:pPr>
      <w:r>
        <w:rPr>
          <w:rFonts w:ascii="Century Schoolbook L" w:hAnsi="Century Schoolbook L"/>
          <w:b w:val="false"/>
          <w:bCs w:val="false"/>
          <w:color w:val="auto"/>
          <w:sz w:val="24"/>
          <w:szCs w:val="24"/>
        </w:rPr>
        <w:t>2.6 Mercados primarios, Mercados secundarios.</w:t>
      </w:r>
    </w:p>
    <w:p>
      <w:pPr>
        <w:pStyle w:val="style0"/>
        <w:numPr>
          <w:ilvl w:val="0"/>
          <w:numId w:val="4"/>
        </w:numPr>
        <w:jc w:val="both"/>
      </w:pPr>
      <w:r>
        <w:rPr>
          <w:rFonts w:ascii="Century Schoolbook L" w:hAnsi="Century Schoolbook L"/>
          <w:b w:val="false"/>
          <w:bCs w:val="false"/>
          <w:color w:val="auto"/>
          <w:sz w:val="24"/>
          <w:szCs w:val="24"/>
        </w:rPr>
        <w:t>NIIF</w:t>
      </w:r>
    </w:p>
    <w:p>
      <w:pPr>
        <w:pStyle w:val="style0"/>
        <w:jc w:val="both"/>
      </w:pPr>
      <w:r>
        <w:rPr>
          <w:rFonts w:ascii="Century Schoolbook L" w:hAnsi="Century Schoolbook L"/>
          <w:b w:val="false"/>
          <w:bCs w:val="false"/>
          <w:color w:val="auto"/>
          <w:sz w:val="24"/>
          <w:szCs w:val="24"/>
        </w:rPr>
        <w:t>3.1 Balace general</w:t>
      </w:r>
    </w:p>
    <w:p>
      <w:pPr>
        <w:pStyle w:val="style0"/>
        <w:jc w:val="both"/>
      </w:pPr>
      <w:r>
        <w:rPr>
          <w:rFonts w:ascii="Century Schoolbook L" w:hAnsi="Century Schoolbook L"/>
          <w:b w:val="false"/>
          <w:bCs w:val="false"/>
          <w:color w:val="auto"/>
          <w:sz w:val="24"/>
          <w:szCs w:val="24"/>
        </w:rPr>
        <w:t>3.2 Estado de perdidas y ganancias</w:t>
      </w:r>
    </w:p>
    <w:p>
      <w:pPr>
        <w:pStyle w:val="style0"/>
        <w:jc w:val="both"/>
      </w:pPr>
      <w:r>
        <w:rPr>
          <w:rFonts w:ascii="Century Schoolbook L" w:hAnsi="Century Schoolbook L"/>
          <w:b w:val="false"/>
          <w:bCs w:val="false"/>
          <w:color w:val="auto"/>
          <w:sz w:val="24"/>
          <w:szCs w:val="24"/>
        </w:rPr>
        <w:t xml:space="preserve">3.3 Flujo de caja </w:t>
      </w:r>
    </w:p>
    <w:p>
      <w:pPr>
        <w:pStyle w:val="style0"/>
        <w:jc w:val="both"/>
      </w:pPr>
      <w:r>
        <w:rPr>
          <w:rFonts w:ascii="Century Schoolbook L" w:hAnsi="Century Schoolbook L"/>
          <w:b w:val="false"/>
          <w:bCs w:val="false"/>
          <w:color w:val="auto"/>
          <w:sz w:val="24"/>
          <w:szCs w:val="24"/>
        </w:rPr>
        <w:t>3.4 Analisis financiero.</w:t>
      </w:r>
    </w:p>
    <w:p>
      <w:pPr>
        <w:pStyle w:val="style0"/>
        <w:numPr>
          <w:ilvl w:val="0"/>
          <w:numId w:val="4"/>
        </w:numPr>
        <w:jc w:val="both"/>
      </w:pPr>
      <w:r>
        <w:rPr>
          <w:rFonts w:ascii="Century Schoolbook L" w:hAnsi="Century Schoolbook L"/>
          <w:b w:val="false"/>
          <w:bCs w:val="false"/>
          <w:color w:val="auto"/>
          <w:sz w:val="24"/>
          <w:szCs w:val="24"/>
        </w:rPr>
        <w:t>RAZONES FINANCIERAS.</w:t>
      </w:r>
    </w:p>
    <w:p>
      <w:pPr>
        <w:pStyle w:val="style0"/>
        <w:numPr>
          <w:ilvl w:val="0"/>
          <w:numId w:val="4"/>
        </w:numPr>
        <w:jc w:val="both"/>
      </w:pPr>
      <w:r>
        <w:rPr>
          <w:rFonts w:ascii="Century Schoolbook L" w:hAnsi="Century Schoolbook L"/>
          <w:b w:val="false"/>
          <w:bCs w:val="false"/>
          <w:color w:val="auto"/>
          <w:sz w:val="24"/>
          <w:szCs w:val="24"/>
        </w:rPr>
        <w:t>VALOR DEL DINERO EN EL TIEMPO</w:t>
      </w:r>
    </w:p>
    <w:p>
      <w:pPr>
        <w:pStyle w:val="style0"/>
        <w:numPr>
          <w:ilvl w:val="0"/>
          <w:numId w:val="4"/>
        </w:numPr>
        <w:jc w:val="both"/>
      </w:pPr>
      <w:r>
        <w:rPr>
          <w:rFonts w:ascii="Century Schoolbook L" w:hAnsi="Century Schoolbook L"/>
          <w:b w:val="false"/>
          <w:bCs w:val="false"/>
          <w:color w:val="auto"/>
          <w:sz w:val="24"/>
          <w:szCs w:val="24"/>
        </w:rPr>
        <w:t>PROGRAMAS DE PAGOS DE UN PRESTAMO</w:t>
      </w:r>
    </w:p>
    <w:p>
      <w:pPr>
        <w:pStyle w:val="style0"/>
        <w:numPr>
          <w:ilvl w:val="0"/>
          <w:numId w:val="4"/>
        </w:numPr>
        <w:jc w:val="both"/>
      </w:pPr>
      <w:r>
        <w:rPr>
          <w:rFonts w:ascii="Century Schoolbook L" w:hAnsi="Century Schoolbook L"/>
          <w:b w:val="false"/>
          <w:bCs w:val="false"/>
          <w:color w:val="auto"/>
          <w:sz w:val="24"/>
          <w:szCs w:val="24"/>
        </w:rPr>
        <w:t>TECNICAS EVALUACION DE PROYECTOS</w:t>
      </w:r>
    </w:p>
    <w:p>
      <w:pPr>
        <w:pStyle w:val="style0"/>
        <w:numPr>
          <w:ilvl w:val="0"/>
          <w:numId w:val="4"/>
        </w:numPr>
        <w:jc w:val="both"/>
      </w:pPr>
      <w:r>
        <w:rPr>
          <w:rFonts w:ascii="Century Schoolbook L" w:hAnsi="Century Schoolbook L"/>
          <w:b w:val="false"/>
          <w:bCs w:val="false"/>
          <w:color w:val="auto"/>
          <w:sz w:val="24"/>
          <w:szCs w:val="24"/>
        </w:rPr>
        <w:t>VAN</w:t>
      </w:r>
    </w:p>
    <w:p>
      <w:pPr>
        <w:pStyle w:val="style0"/>
        <w:numPr>
          <w:ilvl w:val="0"/>
          <w:numId w:val="4"/>
        </w:numPr>
        <w:jc w:val="both"/>
      </w:pPr>
      <w:r>
        <w:rPr>
          <w:rFonts w:ascii="Century Schoolbook L" w:hAnsi="Century Schoolbook L"/>
          <w:b w:val="false"/>
          <w:bCs w:val="false"/>
          <w:color w:val="auto"/>
          <w:sz w:val="24"/>
          <w:szCs w:val="24"/>
        </w:rPr>
        <w:t>TIR</w:t>
      </w:r>
    </w:p>
    <w:p>
      <w:pPr>
        <w:pStyle w:val="style0"/>
        <w:jc w:val="both"/>
      </w:pPr>
      <w:r>
        <w:rPr>
          <w:rFonts w:ascii="Century Schoolbook L" w:hAnsi="Century Schoolbook L"/>
          <w:b w:val="false"/>
          <w:bCs w:val="false"/>
          <w:color w:val="auto"/>
          <w:sz w:val="24"/>
          <w:szCs w:val="24"/>
        </w:rPr>
        <w:t>1. PLANIFICACIÓN Y CONTROL DE GASTOS GASTOS INDIRECTOS DE FABRICACION COSTOS DE CALIDAD DEL PRODUCTO Y GASTOS DE DISTRIBUCION Y DE ADMINISTRACIÓN.</w:t>
      </w:r>
    </w:p>
    <w:p>
      <w:pPr>
        <w:pStyle w:val="style0"/>
        <w:jc w:val="both"/>
      </w:pPr>
      <w:r>
        <w:rPr>
          <w:rFonts w:ascii="Century Schoolbook L" w:hAnsi="Century Schoolbook L"/>
          <w:b w:val="false"/>
          <w:bCs w:val="false"/>
          <w:color w:val="auto"/>
          <w:sz w:val="24"/>
          <w:szCs w:val="24"/>
        </w:rPr>
        <w:t>1.1 INTRODUCCIÓN Y PROPOSITO</w:t>
      </w:r>
    </w:p>
    <w:p>
      <w:pPr>
        <w:pStyle w:val="style0"/>
        <w:jc w:val="both"/>
      </w:pPr>
      <w:r>
        <w:rPr>
          <w:rFonts w:ascii="Century Schoolbook L" w:hAnsi="Century Schoolbook L"/>
          <w:b w:val="false"/>
          <w:bCs w:val="false"/>
          <w:color w:val="auto"/>
          <w:sz w:val="24"/>
          <w:szCs w:val="24"/>
        </w:rPr>
        <w:t>1.2 DIFERENCIA ENTRE COSTO Y GASTO</w:t>
      </w:r>
    </w:p>
    <w:p>
      <w:pPr>
        <w:pStyle w:val="style0"/>
        <w:jc w:val="both"/>
      </w:pPr>
      <w:r>
        <w:rPr>
          <w:rFonts w:ascii="Century Schoolbook L" w:hAnsi="Century Schoolbook L"/>
          <w:b w:val="false"/>
          <w:bCs w:val="false"/>
          <w:color w:val="auto"/>
          <w:sz w:val="24"/>
          <w:szCs w:val="24"/>
        </w:rPr>
        <w:t>1.2.1 Clasificacion de los costos por areas de responsabilidad.</w:t>
      </w:r>
    </w:p>
    <w:p>
      <w:pPr>
        <w:pStyle w:val="style0"/>
        <w:jc w:val="both"/>
      </w:pPr>
      <w:r>
        <w:rPr>
          <w:rFonts w:ascii="Century Schoolbook L" w:hAnsi="Century Schoolbook L"/>
          <w:b w:val="false"/>
          <w:bCs w:val="false"/>
          <w:color w:val="auto"/>
          <w:sz w:val="24"/>
          <w:szCs w:val="24"/>
        </w:rPr>
        <w:t>1.2.2 Comportamiento del costo</w:t>
      </w:r>
    </w:p>
    <w:p>
      <w:pPr>
        <w:pStyle w:val="style0"/>
        <w:jc w:val="both"/>
      </w:pPr>
      <w:r>
        <w:rPr>
          <w:rFonts w:ascii="Century Schoolbook L" w:hAnsi="Century Schoolbook L"/>
          <w:b w:val="false"/>
          <w:bCs w:val="false"/>
          <w:color w:val="auto"/>
          <w:sz w:val="24"/>
          <w:szCs w:val="24"/>
        </w:rPr>
        <w:t>1.2.3 Gastos controlables y no controlables</w:t>
      </w:r>
    </w:p>
    <w:p>
      <w:pPr>
        <w:pStyle w:val="style0"/>
        <w:jc w:val="both"/>
      </w:pPr>
      <w:r>
        <w:rPr>
          <w:rFonts w:ascii="Century Schoolbook L" w:hAnsi="Century Schoolbook L"/>
          <w:b w:val="false"/>
          <w:bCs w:val="false"/>
          <w:color w:val="auto"/>
          <w:sz w:val="24"/>
          <w:szCs w:val="24"/>
        </w:rPr>
        <w:t>1.2.4 Reduccion de costos y control de costos</w:t>
      </w:r>
    </w:p>
    <w:p>
      <w:pPr>
        <w:pStyle w:val="style0"/>
        <w:jc w:val="both"/>
      </w:pPr>
      <w:r>
        <w:rPr>
          <w:rFonts w:ascii="Century Schoolbook L" w:hAnsi="Century Schoolbook L"/>
          <w:b w:val="false"/>
          <w:bCs w:val="false"/>
          <w:color w:val="auto"/>
          <w:sz w:val="24"/>
          <w:szCs w:val="24"/>
        </w:rPr>
        <w:t xml:space="preserve">1.3 PLANIFICACIÓN DE LOS GASTOS </w:t>
      </w:r>
    </w:p>
    <w:p>
      <w:pPr>
        <w:pStyle w:val="style0"/>
        <w:jc w:val="both"/>
      </w:pPr>
      <w:r>
        <w:rPr>
          <w:rFonts w:ascii="Century Schoolbook L" w:hAnsi="Century Schoolbook L"/>
          <w:b w:val="false"/>
          <w:bCs w:val="false"/>
          <w:color w:val="auto"/>
          <w:sz w:val="24"/>
          <w:szCs w:val="24"/>
        </w:rPr>
        <w:t xml:space="preserve">1.3.1 Planificación de los gastos de la producción </w:t>
      </w:r>
    </w:p>
    <w:p>
      <w:pPr>
        <w:pStyle w:val="style0"/>
        <w:jc w:val="both"/>
      </w:pPr>
      <w:r>
        <w:rPr>
          <w:rFonts w:ascii="Century Schoolbook L" w:hAnsi="Century Schoolbook L"/>
          <w:b w:val="false"/>
          <w:bCs w:val="false"/>
          <w:color w:val="auto"/>
          <w:sz w:val="24"/>
          <w:szCs w:val="24"/>
        </w:rPr>
        <w:t>1.3 CONTROL DE GASTOS INDIRECTOS DE FABRICACION</w:t>
      </w:r>
    </w:p>
    <w:p>
      <w:pPr>
        <w:pStyle w:val="style0"/>
        <w:jc w:val="both"/>
      </w:pPr>
      <w:r>
        <w:rPr>
          <w:rFonts w:ascii="Century Schoolbook L" w:hAnsi="Century Schoolbook L"/>
          <w:b w:val="false"/>
          <w:bCs w:val="false"/>
          <w:color w:val="auto"/>
          <w:sz w:val="24"/>
          <w:szCs w:val="24"/>
        </w:rPr>
        <w:t>1.4 COSTEO DE PRODUCTOS</w:t>
      </w:r>
    </w:p>
    <w:p>
      <w:pPr>
        <w:pStyle w:val="style0"/>
        <w:jc w:val="both"/>
      </w:pPr>
      <w:r>
        <w:rPr>
          <w:rFonts w:ascii="Century Schoolbook L" w:hAnsi="Century Schoolbook L"/>
          <w:b w:val="false"/>
          <w:bCs w:val="false"/>
          <w:color w:val="auto"/>
          <w:sz w:val="24"/>
          <w:szCs w:val="24"/>
        </w:rPr>
        <w:t>1.4.1 Seleccion de la base de actividad.</w:t>
      </w:r>
    </w:p>
    <w:p>
      <w:pPr>
        <w:pStyle w:val="style0"/>
        <w:jc w:val="both"/>
      </w:pPr>
      <w:r>
        <w:rPr>
          <w:rFonts w:ascii="Century Schoolbook L" w:hAnsi="Century Schoolbook L"/>
          <w:b w:val="false"/>
          <w:bCs w:val="false"/>
          <w:color w:val="auto"/>
          <w:sz w:val="24"/>
          <w:szCs w:val="24"/>
        </w:rPr>
        <w:t>1.5 DESARROLLO DEL PRESUPUESTO DE GASTO INDIRECTOS DE FABRICACION</w:t>
      </w:r>
    </w:p>
    <w:p>
      <w:pPr>
        <w:pStyle w:val="style0"/>
        <w:jc w:val="both"/>
      </w:pPr>
      <w:r>
        <w:rPr>
          <w:rFonts w:ascii="Century Schoolbook L" w:hAnsi="Century Schoolbook L"/>
          <w:b w:val="false"/>
          <w:bCs w:val="false"/>
          <w:color w:val="auto"/>
          <w:sz w:val="24"/>
          <w:szCs w:val="24"/>
        </w:rPr>
        <w:t xml:space="preserve">1.6 COSTO PLANIFICADO DE LOS ARTICULOS PRODUCIDOS </w:t>
      </w:r>
    </w:p>
    <w:p>
      <w:pPr>
        <w:pStyle w:val="style0"/>
        <w:jc w:val="both"/>
      </w:pPr>
      <w:r>
        <w:rPr>
          <w:rFonts w:ascii="Century Schoolbook L" w:hAnsi="Century Schoolbook L"/>
          <w:b w:val="false"/>
          <w:bCs w:val="false"/>
          <w:color w:val="auto"/>
          <w:sz w:val="24"/>
          <w:szCs w:val="24"/>
        </w:rPr>
        <w:t>1.7 COSTEO DE LA CALIDAD DEL PRODUCTO.</w:t>
      </w:r>
    </w:p>
    <w:p>
      <w:pPr>
        <w:pStyle w:val="style0"/>
        <w:jc w:val="both"/>
      </w:pPr>
      <w:r>
        <w:rPr>
          <w:rFonts w:ascii="Century Schoolbook L" w:hAnsi="Century Schoolbook L"/>
          <w:b w:val="false"/>
          <w:bCs w:val="false"/>
          <w:color w:val="auto"/>
          <w:sz w:val="24"/>
          <w:szCs w:val="24"/>
        </w:rPr>
        <w:t>1.8 PLANIFICACION DE LOS GASTOS DE DISTRIBUCION O DE VENTA</w:t>
      </w:r>
    </w:p>
    <w:p>
      <w:pPr>
        <w:pStyle w:val="style0"/>
        <w:jc w:val="both"/>
      </w:pPr>
      <w:r>
        <w:rPr>
          <w:rFonts w:ascii="Century Schoolbook L" w:hAnsi="Century Schoolbook L"/>
          <w:b w:val="false"/>
          <w:bCs w:val="false"/>
          <w:color w:val="auto"/>
          <w:sz w:val="24"/>
          <w:szCs w:val="24"/>
        </w:rPr>
        <w:t>1.9 PREPARACION DE PRESUPUESTOS DE GASTOS DE DISTRIBUCION O DE VENTA.</w:t>
      </w:r>
    </w:p>
    <w:p>
      <w:pPr>
        <w:pStyle w:val="style0"/>
        <w:jc w:val="both"/>
      </w:pPr>
      <w:r>
        <w:rPr>
          <w:rFonts w:ascii="Century Schoolbook L" w:hAnsi="Century Schoolbook L"/>
          <w:b w:val="false"/>
          <w:bCs w:val="false"/>
          <w:color w:val="auto"/>
          <w:sz w:val="24"/>
          <w:szCs w:val="24"/>
        </w:rPr>
        <w:t>1.10 PLANIFICACIÓN DE LOS GASTOS DE ADMINISTRACIÓN.</w:t>
      </w:r>
    </w:p>
    <w:p>
      <w:pPr>
        <w:pStyle w:val="style0"/>
      </w:pPr>
      <w:r>
        <w:rPr>
          <w:rFonts w:ascii="Century Schoolbook L" w:hAnsi="Century Schoolbook L"/>
          <w:b/>
          <w:bCs/>
          <w:sz w:val="24"/>
          <w:szCs w:val="24"/>
        </w:rPr>
        <w:t>BIBLIOGRAFÍA</w:t>
      </w:r>
    </w:p>
    <w:p>
      <w:pPr>
        <w:pStyle w:val="style21"/>
        <w:numPr>
          <w:ilvl w:val="0"/>
          <w:numId w:val="1"/>
        </w:numPr>
        <w:spacing w:line="480" w:lineRule="auto"/>
        <w:jc w:val="both"/>
      </w:pPr>
      <w:r>
        <w:rPr>
          <w:rFonts w:ascii="Century Schoolbook L" w:hAnsi="Century Schoolbook L"/>
          <w:b w:val="false"/>
          <w:bCs w:val="false"/>
          <w:sz w:val="24"/>
          <w:szCs w:val="24"/>
        </w:rPr>
        <w:t>VAN HORNE, James y WACHOWICZ, John. (2008) "Introducción a la Administración Financiera".México, Prentice Hall Hispanoamericana,   Undécima edición</w:t>
      </w:r>
    </w:p>
    <w:p>
      <w:pPr>
        <w:pStyle w:val="style21"/>
        <w:numPr>
          <w:ilvl w:val="0"/>
          <w:numId w:val="1"/>
        </w:numPr>
        <w:spacing w:line="480" w:lineRule="auto"/>
        <w:jc w:val="both"/>
      </w:pPr>
      <w:r>
        <w:rPr>
          <w:rFonts w:ascii="Century Schoolbook L" w:hAnsi="Century Schoolbook L"/>
          <w:b w:val="false"/>
          <w:bCs w:val="false"/>
          <w:sz w:val="24"/>
          <w:szCs w:val="24"/>
        </w:rPr>
        <w:t>PEARSON, Hall (2005)  “Presupuestos, Planificacion y Control</w:t>
      </w:r>
      <w:r>
        <w:rPr>
          <w:rFonts w:ascii="Century Schoolbook L" w:hAnsi="Century Schoolbook L"/>
          <w:b w:val="false"/>
          <w:bCs w:val="false"/>
          <w:i/>
          <w:sz w:val="24"/>
          <w:szCs w:val="24"/>
        </w:rPr>
        <w:t xml:space="preserve">”. </w:t>
      </w:r>
      <w:r>
        <w:rPr>
          <w:rFonts w:ascii="Century Schoolbook L" w:hAnsi="Century Schoolbook L"/>
          <w:b w:val="false"/>
          <w:bCs w:val="false"/>
          <w:i w:val="false"/>
          <w:iCs w:val="false"/>
          <w:sz w:val="24"/>
          <w:szCs w:val="24"/>
        </w:rPr>
        <w:t>Edición Sexta, México.</w:t>
      </w:r>
    </w:p>
    <w:p>
      <w:pPr>
        <w:pStyle w:val="style21"/>
        <w:numPr>
          <w:ilvl w:val="0"/>
          <w:numId w:val="1"/>
        </w:numPr>
        <w:spacing w:line="480" w:lineRule="auto"/>
        <w:jc w:val="both"/>
      </w:pPr>
      <w:r>
        <w:rPr>
          <w:rFonts w:ascii="Century Schoolbook L" w:hAnsi="Century Schoolbook L"/>
          <w:sz w:val="24"/>
          <w:szCs w:val="24"/>
        </w:rPr>
        <w:t>DOUGLAS, Emery (2000) “</w:t>
      </w:r>
      <w:r>
        <w:rPr>
          <w:rFonts w:ascii="Century Schoolbook L" w:hAnsi="Century Schoolbook L"/>
          <w:i/>
          <w:sz w:val="24"/>
          <w:szCs w:val="24"/>
        </w:rPr>
        <w:t xml:space="preserve">Administración Financiera Corporativa”, </w:t>
      </w:r>
      <w:r>
        <w:rPr>
          <w:rFonts w:ascii="Century Schoolbook L" w:hAnsi="Century Schoolbook L"/>
          <w:sz w:val="24"/>
          <w:szCs w:val="24"/>
        </w:rPr>
        <w:t>Prentice Hall, Edición Primera, México.</w:t>
      </w:r>
    </w:p>
    <w:p>
      <w:pPr>
        <w:pStyle w:val="style21"/>
        <w:numPr>
          <w:ilvl w:val="0"/>
          <w:numId w:val="1"/>
        </w:numPr>
        <w:spacing w:line="480" w:lineRule="auto"/>
        <w:jc w:val="both"/>
      </w:pPr>
      <w:r>
        <w:rPr>
          <w:rFonts w:ascii="Century Schoolbook L" w:hAnsi="Century Schoolbook L"/>
          <w:sz w:val="24"/>
          <w:szCs w:val="24"/>
        </w:rPr>
        <w:t>DIAZ, Aguiar (2009)  “Finanzas Corporativas” Prentice Hall, México</w:t>
      </w:r>
    </w:p>
    <w:p>
      <w:pPr>
        <w:pStyle w:val="style21"/>
        <w:numPr>
          <w:ilvl w:val="0"/>
          <w:numId w:val="1"/>
        </w:numPr>
        <w:spacing w:line="480" w:lineRule="auto"/>
        <w:jc w:val="both"/>
      </w:pPr>
      <w:r>
        <w:rPr>
          <w:rFonts w:ascii="Century Schoolbook L" w:hAnsi="Century Schoolbook L"/>
          <w:sz w:val="24"/>
          <w:szCs w:val="24"/>
        </w:rPr>
        <w:t>ESTUPIÑÁN, Orlando (2005)  “Análisis Financiero y de Gestión Prentice Hall, México.</w:t>
      </w:r>
    </w:p>
    <w:p>
      <w:pPr>
        <w:pStyle w:val="style21"/>
        <w:numPr>
          <w:ilvl w:val="0"/>
          <w:numId w:val="1"/>
        </w:numPr>
        <w:spacing w:line="480" w:lineRule="auto"/>
        <w:jc w:val="both"/>
      </w:pPr>
      <w:r>
        <w:rPr>
          <w:rFonts w:ascii="Century Schoolbook L" w:hAnsi="Century Schoolbook L"/>
          <w:bCs/>
          <w:sz w:val="24"/>
          <w:szCs w:val="24"/>
        </w:rPr>
        <w:t xml:space="preserve">FERNANDEZ, Jesús (2008)  </w:t>
      </w:r>
      <w:r>
        <w:rPr>
          <w:rFonts w:ascii="Century Schoolbook L" w:hAnsi="Century Schoolbook L"/>
          <w:sz w:val="24"/>
          <w:szCs w:val="24"/>
        </w:rPr>
        <w:t xml:space="preserve">“Manual de Introducción al Análisis </w:t>
      </w:r>
      <w:r>
        <w:rPr>
          <w:rFonts w:ascii="Century Schoolbook L" w:hAnsi="Century Schoolbook L"/>
          <w:i/>
          <w:sz w:val="24"/>
          <w:szCs w:val="24"/>
        </w:rPr>
        <w:t xml:space="preserve">Contable”, </w:t>
      </w:r>
      <w:r>
        <w:rPr>
          <w:rFonts w:ascii="Century Schoolbook L" w:hAnsi="Century Schoolbook L"/>
          <w:sz w:val="24"/>
          <w:szCs w:val="24"/>
        </w:rPr>
        <w:t>Editorial Limusa, España.</w:t>
      </w:r>
    </w:p>
    <w:p>
      <w:pPr>
        <w:pStyle w:val="style21"/>
        <w:numPr>
          <w:ilvl w:val="0"/>
          <w:numId w:val="1"/>
        </w:numPr>
        <w:spacing w:line="480" w:lineRule="auto"/>
        <w:jc w:val="both"/>
      </w:pPr>
      <w:r>
        <w:rPr>
          <w:rFonts w:ascii="Century Schoolbook L" w:hAnsi="Century Schoolbook L"/>
          <w:sz w:val="24"/>
          <w:szCs w:val="24"/>
        </w:rPr>
        <w:t>FINNERTY, Jonh (2008) “</w:t>
      </w:r>
      <w:r>
        <w:rPr>
          <w:rFonts w:ascii="Century Schoolbook L" w:hAnsi="Century Schoolbook L"/>
          <w:i/>
          <w:sz w:val="24"/>
          <w:szCs w:val="24"/>
        </w:rPr>
        <w:t xml:space="preserve">Administración Financiera”, </w:t>
      </w:r>
      <w:r>
        <w:rPr>
          <w:rFonts w:ascii="Century Schoolbook L" w:hAnsi="Century Schoolbook L"/>
          <w:sz w:val="24"/>
          <w:szCs w:val="24"/>
        </w:rPr>
        <w:t>Prentice Hall, Edición Quinta, México.</w:t>
      </w:r>
    </w:p>
    <w:p>
      <w:pPr>
        <w:pStyle w:val="style21"/>
        <w:numPr>
          <w:ilvl w:val="0"/>
          <w:numId w:val="1"/>
        </w:numPr>
        <w:spacing w:line="480" w:lineRule="auto"/>
        <w:jc w:val="both"/>
      </w:pPr>
      <w:r>
        <w:rPr>
          <w:rFonts w:ascii="Century Schoolbook L" w:hAnsi="Century Schoolbook L"/>
          <w:b w:val="false"/>
          <w:bCs w:val="false"/>
          <w:i w:val="false"/>
          <w:iCs w:val="false"/>
          <w:sz w:val="24"/>
          <w:szCs w:val="24"/>
        </w:rPr>
        <w:t>CUADRADO ROURA, Juan (2001) “Politica Economica</w:t>
      </w:r>
      <w:r>
        <w:rPr>
          <w:rFonts w:ascii="Century Schoolbook L" w:hAnsi="Century Schoolbook L"/>
          <w:b w:val="false"/>
          <w:bCs w:val="false"/>
          <w:i/>
          <w:iCs w:val="false"/>
          <w:sz w:val="24"/>
          <w:szCs w:val="24"/>
        </w:rPr>
        <w:t>”.</w:t>
      </w:r>
      <w:r>
        <w:rPr>
          <w:rFonts w:ascii="Century Schoolbook L" w:hAnsi="Century Schoolbook L"/>
          <w:b w:val="false"/>
          <w:bCs w:val="false"/>
          <w:i w:val="false"/>
          <w:iCs w:val="false"/>
          <w:sz w:val="24"/>
          <w:szCs w:val="24"/>
        </w:rPr>
        <w:t xml:space="preserve"> Edición Segunda, Espana.</w:t>
      </w:r>
    </w:p>
    <w:p>
      <w:pPr>
        <w:pStyle w:val="style21"/>
        <w:numPr>
          <w:ilvl w:val="0"/>
          <w:numId w:val="1"/>
        </w:numPr>
        <w:spacing w:line="480" w:lineRule="auto"/>
        <w:jc w:val="both"/>
      </w:pPr>
      <w:r>
        <w:rPr>
          <w:rFonts w:ascii="Century Schoolbook L" w:hAnsi="Century Schoolbook L"/>
          <w:b w:val="false"/>
          <w:bCs w:val="false"/>
          <w:i w:val="false"/>
          <w:iCs w:val="false"/>
          <w:sz w:val="24"/>
          <w:szCs w:val="24"/>
        </w:rPr>
        <w:t>MANKIW, Gregory (2009) “Principios de Economia</w:t>
      </w:r>
      <w:r>
        <w:rPr>
          <w:rFonts w:ascii="Century Schoolbook L" w:hAnsi="Century Schoolbook L"/>
          <w:b w:val="false"/>
          <w:bCs w:val="false"/>
          <w:i/>
          <w:iCs w:val="false"/>
          <w:sz w:val="24"/>
          <w:szCs w:val="24"/>
        </w:rPr>
        <w:t xml:space="preserve">”, </w:t>
      </w:r>
      <w:r>
        <w:rPr>
          <w:rFonts w:ascii="Century Schoolbook L" w:hAnsi="Century Schoolbook L"/>
          <w:b w:val="false"/>
          <w:bCs w:val="false"/>
          <w:i w:val="false"/>
          <w:iCs w:val="false"/>
          <w:sz w:val="24"/>
          <w:szCs w:val="24"/>
        </w:rPr>
        <w:t>Editec SA.DE.C.V, Edición Quinta.</w:t>
      </w:r>
    </w:p>
    <w:p>
      <w:pPr>
        <w:pStyle w:val="style27"/>
        <w:numPr>
          <w:ilvl w:val="0"/>
          <w:numId w:val="1"/>
        </w:numPr>
      </w:pPr>
      <w:r>
        <w:rPr>
          <w:rFonts w:ascii="Century Schoolbook L" w:hAnsi="Century Schoolbook L"/>
          <w:sz w:val="24"/>
          <w:szCs w:val="24"/>
          <w:lang w:val="es-ES"/>
        </w:rPr>
        <w:t xml:space="preserve">GALLARGHER, T. (2008). </w:t>
      </w:r>
      <w:r>
        <w:rPr>
          <w:rFonts w:ascii="Century Schoolbook L" w:hAnsi="Century Schoolbook L"/>
          <w:i/>
          <w:iCs/>
          <w:sz w:val="24"/>
          <w:szCs w:val="24"/>
          <w:lang w:val="es-ES"/>
        </w:rPr>
        <w:t>Administracion Financiera.</w:t>
      </w:r>
      <w:r>
        <w:rPr>
          <w:rFonts w:ascii="Century Schoolbook L" w:hAnsi="Century Schoolbook L"/>
          <w:sz w:val="24"/>
          <w:szCs w:val="24"/>
          <w:lang w:val="es-ES"/>
        </w:rPr>
        <w:t xml:space="preserve"> James C Boyd.</w:t>
      </w:r>
    </w:p>
    <w:p>
      <w:pPr>
        <w:pStyle w:val="style27"/>
        <w:numPr>
          <w:ilvl w:val="0"/>
          <w:numId w:val="1"/>
        </w:numPr>
      </w:pPr>
      <w:r>
        <w:rPr>
          <w:rFonts w:ascii="Century Schoolbook L" w:hAnsi="Century Schoolbook L"/>
          <w:sz w:val="24"/>
          <w:szCs w:val="24"/>
          <w:lang w:val="es-ES"/>
        </w:rPr>
        <w:t xml:space="preserve">MORALES CASTRO, A. (2008). </w:t>
      </w:r>
      <w:r>
        <w:rPr>
          <w:rFonts w:ascii="Century Schoolbook L" w:hAnsi="Century Schoolbook L"/>
          <w:i/>
          <w:iCs/>
          <w:sz w:val="24"/>
          <w:szCs w:val="24"/>
          <w:lang w:val="es-ES"/>
        </w:rPr>
        <w:t>pricipios de finanzas.</w:t>
      </w:r>
      <w:r>
        <w:rPr>
          <w:rFonts w:ascii="Century Schoolbook L" w:hAnsi="Century Schoolbook L"/>
          <w:sz w:val="24"/>
          <w:szCs w:val="24"/>
          <w:lang w:val="es-ES"/>
        </w:rPr>
        <w:t xml:space="preserve"> Trillas.</w:t>
      </w:r>
    </w:p>
    <w:p>
      <w:pPr>
        <w:pStyle w:val="style27"/>
        <w:numPr>
          <w:ilvl w:val="0"/>
          <w:numId w:val="1"/>
        </w:numPr>
        <w:spacing w:line="360" w:lineRule="auto"/>
        <w:jc w:val="both"/>
      </w:pPr>
      <w:r>
        <w:rPr>
          <w:rFonts w:ascii="Century Schoolbook L" w:hAnsi="Century Schoolbook L"/>
          <w:sz w:val="24"/>
          <w:szCs w:val="24"/>
          <w:lang w:val="es-ES"/>
        </w:rPr>
        <w:t xml:space="preserve">OCHOA SETZERr, G. (2008). </w:t>
      </w:r>
      <w:r>
        <w:rPr>
          <w:rFonts w:ascii="Century Schoolbook L" w:hAnsi="Century Schoolbook L"/>
          <w:i/>
          <w:iCs/>
          <w:sz w:val="24"/>
          <w:szCs w:val="24"/>
          <w:lang w:val="es-ES"/>
        </w:rPr>
        <w:t>Administracion Financiera.</w:t>
      </w:r>
      <w:r>
        <w:rPr>
          <w:rFonts w:ascii="Century Schoolbook L" w:hAnsi="Century Schoolbook L"/>
          <w:sz w:val="24"/>
          <w:szCs w:val="24"/>
          <w:lang w:val="es-ES"/>
        </w:rPr>
        <w:t xml:space="preserve"> Interamericana editores S.A.</w:t>
      </w:r>
    </w:p>
    <w:p>
      <w:pPr>
        <w:pStyle w:val="style0"/>
        <w:spacing w:line="360" w:lineRule="auto"/>
        <w:jc w:val="both"/>
      </w:pPr>
      <w:r>
        <w:rPr/>
      </w:r>
    </w:p>
    <w:p>
      <w:pPr>
        <w:pStyle w:val="style0"/>
        <w:spacing w:line="360" w:lineRule="auto"/>
        <w:jc w:val="both"/>
      </w:pPr>
      <w:r>
        <w:rPr/>
      </w:r>
    </w:p>
    <w:p>
      <w:pPr>
        <w:pStyle w:val="style0"/>
        <w:spacing w:line="360" w:lineRule="auto"/>
        <w:jc w:val="both"/>
      </w:pPr>
      <w:r>
        <w:rPr/>
      </w:r>
    </w:p>
    <w:p>
      <w:pPr>
        <w:pStyle w:val="style0"/>
        <w:spacing w:after="200" w:before="0" w:line="360" w:lineRule="auto"/>
      </w:pPr>
      <w:r>
        <w:rPr/>
      </w:r>
    </w:p>
    <w:sectPr>
      <w:type w:val="nextPage"/>
      <w:pgSz w:h="15840" w:w="12240"/>
      <w:pgMar w:bottom="1417" w:footer="0" w:gutter="0" w:header="0" w:left="1701" w:right="1701" w:top="1417"/>
      <w:pgNumType w:fmt="decimal"/>
      <w:formProt w:val="false"/>
      <w:textDirection w:val="lrTb"/>
      <w:docGrid w:charSpace="12288"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Symbol">
    <w:charset w:val="02"/>
    <w:family w:val="auto"/>
    <w:pitch w:val="variable"/>
  </w:font>
</w:fonts>
</file>

<file path=word/numbering.xml><?xml version="1.0" encoding="utf-8"?>
<w:numbering xmlns:w="http://schemas.openxmlformats.org/wordprocessingml/2006/main">
  <w:abstractNum w:abstractNumId="1">
    <w:lvl w:ilvl="0">
      <w:start w:val="1"/>
      <w:numFmt w:val="bullet"/>
      <w:lvlText w:val=""/>
      <w:lvlJc w:val="left"/>
      <w:pPr>
        <w:tabs>
          <w:tab w:pos="720" w:val="num"/>
        </w:tabs>
        <w:ind w:hanging="360" w:left="720"/>
      </w:pPr>
      <w:rPr>
        <w:rFonts w:ascii="Symbol" w:cs="Symbol" w:hAnsi="Symbol" w:hint="default"/>
        <w:color w:val="00000A"/>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lvl w:ilvl="0">
      <w:start w:val="1"/>
      <w:numFmt w:val="decimal"/>
      <w:lvlText w:val="%1."/>
      <w:lvlJc w:val="left"/>
      <w:pPr>
        <w:tabs>
          <w:tab w:pos="720" w:val="num"/>
        </w:tabs>
        <w:ind w:hanging="360" w:left="720"/>
      </w:pPr>
    </w:lvl>
    <w:lvl w:ilvl="1">
      <w:start w:val="1"/>
      <w:numFmt w:val="decimal"/>
      <w:lvlText w:val="%1.%2"/>
      <w:lvlJc w:val="left"/>
      <w:pPr>
        <w:tabs>
          <w:tab w:pos="1080" w:val="num"/>
        </w:tabs>
        <w:ind w:hanging="360" w:left="1080"/>
      </w:pPr>
    </w:lvl>
    <w:lvl w:ilvl="2">
      <w:start w:val="1"/>
      <w:numFmt w:val="decimal"/>
      <w:lvlText w:val="%1.%2.%3."/>
      <w:lvlJc w:val="left"/>
      <w:pPr>
        <w:tabs>
          <w:tab w:pos="1440" w:val="num"/>
        </w:tabs>
        <w:ind w:hanging="360" w:left="1440"/>
      </w:pPr>
    </w:lvl>
    <w:lvl w:ilvl="3">
      <w:start w:val="1"/>
      <w:numFmt w:val="decimal"/>
      <w:lvlText w:val="%1.%2.%3.%4."/>
      <w:lvlJc w:val="left"/>
      <w:pPr>
        <w:tabs>
          <w:tab w:pos="1800" w:val="num"/>
        </w:tabs>
        <w:ind w:hanging="360" w:left="1800"/>
      </w:pPr>
    </w:lvl>
    <w:lvl w:ilvl="4">
      <w:start w:val="1"/>
      <w:numFmt w:val="decimal"/>
      <w:lvlText w:val="%1.%2.%3.%4.%5."/>
      <w:lvlJc w:val="left"/>
      <w:pPr>
        <w:tabs>
          <w:tab w:pos="2160" w:val="num"/>
        </w:tabs>
        <w:ind w:hanging="360" w:left="2160"/>
      </w:pPr>
    </w:lvl>
    <w:lvl w:ilvl="5">
      <w:start w:val="1"/>
      <w:numFmt w:val="decimal"/>
      <w:lvlText w:val="%1.%2.%3.%4.%5.%6."/>
      <w:lvlJc w:val="left"/>
      <w:pPr>
        <w:tabs>
          <w:tab w:pos="2520" w:val="num"/>
        </w:tabs>
        <w:ind w:hanging="360" w:left="2520"/>
      </w:pPr>
    </w:lvl>
    <w:lvl w:ilvl="6">
      <w:start w:val="1"/>
      <w:numFmt w:val="decimal"/>
      <w:lvlText w:val="%1.%2.%3.%4.%5.%6.%7."/>
      <w:lvlJc w:val="left"/>
      <w:pPr>
        <w:tabs>
          <w:tab w:pos="2880" w:val="num"/>
        </w:tabs>
        <w:ind w:hanging="360" w:left="2880"/>
      </w:pPr>
    </w:lvl>
    <w:lvl w:ilvl="7">
      <w:start w:val="1"/>
      <w:numFmt w:val="decimal"/>
      <w:lvlText w:val="%1.%2.%3.%4.%5.%6.%7.%8."/>
      <w:lvlJc w:val="left"/>
      <w:pPr>
        <w:tabs>
          <w:tab w:pos="3240" w:val="num"/>
        </w:tabs>
        <w:ind w:hanging="360" w:left="3240"/>
      </w:pPr>
    </w:lvl>
    <w:lvl w:ilvl="8">
      <w:start w:val="1"/>
      <w:numFmt w:val="decimal"/>
      <w:lvlText w:val="%1.%2.%3.%4.%5.%6.%7.%8.%9."/>
      <w:lvlJc w:val="left"/>
      <w:pPr>
        <w:tabs>
          <w:tab w:pos="3600" w:val="num"/>
        </w:tabs>
        <w:ind w:hanging="360" w:left="3600"/>
      </w:pPr>
    </w:lvl>
  </w:abstractNum>
  <w:abstractNum w:abstractNumId="3">
    <w:lvl w:ilvl="0">
      <w:start w:val="2"/>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
    <w:lvl w:ilvl="0">
      <w:start w:val="3"/>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bering>
</file>

<file path=word/styles.xml><?xml version="1.0" encoding="utf-8"?>
<w:styles xmlns:w="http://schemas.openxmlformats.org/wordprocessingml/2006/main">
  <w:style w:styleId="style0" w:type="paragraph">
    <w:name w:val="Predeterminado"/>
    <w:next w:val="style0"/>
    <w:pPr>
      <w:widowControl/>
      <w:tabs>
        <w:tab w:leader="none" w:pos="708" w:val="left"/>
      </w:tabs>
      <w:suppressAutoHyphens w:val="true"/>
      <w:spacing w:after="200" w:before="0" w:line="276" w:lineRule="auto"/>
    </w:pPr>
    <w:rPr>
      <w:rFonts w:ascii="Calibri" w:cs="" w:eastAsia="WenQuanYi Micro Hei" w:hAnsi="Calibri"/>
      <w:color w:val="00000A"/>
      <w:sz w:val="22"/>
      <w:szCs w:val="22"/>
      <w:lang w:bidi="ar-SA" w:eastAsia="es-EC" w:val="es-EC"/>
    </w:rPr>
  </w:style>
  <w:style w:styleId="style15" w:type="character">
    <w:name w:val="Default Paragraph Font"/>
    <w:next w:val="style15"/>
    <w:rPr/>
  </w:style>
  <w:style w:styleId="style16" w:type="character">
    <w:name w:val="Texto de globo Car"/>
    <w:basedOn w:val="style15"/>
    <w:next w:val="style16"/>
    <w:rPr>
      <w:rFonts w:ascii="Tahoma" w:cs="Tahoma" w:hAnsi="Tahoma"/>
      <w:sz w:val="16"/>
      <w:szCs w:val="16"/>
      <w:lang w:eastAsia="es-EC"/>
    </w:rPr>
  </w:style>
  <w:style w:styleId="style17" w:type="character">
    <w:name w:val="ListLabel 1"/>
    <w:next w:val="style17"/>
    <w:rPr>
      <w:color w:val="00000A"/>
    </w:rPr>
  </w:style>
  <w:style w:styleId="style18" w:type="character">
    <w:name w:val="ListLabel 2"/>
    <w:next w:val="style18"/>
    <w:rPr>
      <w:rFonts w:cs="Courier New"/>
    </w:rPr>
  </w:style>
  <w:style w:styleId="style19" w:type="character">
    <w:name w:val="Símbolos de numeración"/>
    <w:next w:val="style19"/>
    <w:rPr/>
  </w:style>
  <w:style w:styleId="style20" w:type="paragraph">
    <w:name w:val="Encabezado"/>
    <w:basedOn w:val="style0"/>
    <w:next w:val="style21"/>
    <w:pPr>
      <w:keepNext/>
      <w:spacing w:after="120" w:before="240"/>
    </w:pPr>
    <w:rPr>
      <w:rFonts w:ascii="Liberation Sans" w:cs="Lohit Hindi" w:eastAsia="WenQuanYi Micro Hei" w:hAnsi="Liberation Sans"/>
      <w:sz w:val="28"/>
      <w:szCs w:val="28"/>
    </w:rPr>
  </w:style>
  <w:style w:styleId="style21" w:type="paragraph">
    <w:name w:val="Cuerpo de texto"/>
    <w:basedOn w:val="style0"/>
    <w:next w:val="style21"/>
    <w:pPr>
      <w:spacing w:after="120" w:before="0"/>
    </w:pPr>
    <w:rPr/>
  </w:style>
  <w:style w:styleId="style22" w:type="paragraph">
    <w:name w:val="Lista"/>
    <w:basedOn w:val="style21"/>
    <w:next w:val="style22"/>
    <w:pPr/>
    <w:rPr>
      <w:rFonts w:cs="Lohit Hindi"/>
    </w:rPr>
  </w:style>
  <w:style w:styleId="style23" w:type="paragraph">
    <w:name w:val="Etiqueta"/>
    <w:basedOn w:val="style0"/>
    <w:next w:val="style23"/>
    <w:pPr>
      <w:suppressLineNumbers/>
      <w:spacing w:after="120" w:before="120"/>
    </w:pPr>
    <w:rPr>
      <w:rFonts w:cs="Lohit Hindi"/>
      <w:i/>
      <w:iCs/>
      <w:sz w:val="24"/>
      <w:szCs w:val="24"/>
    </w:rPr>
  </w:style>
  <w:style w:styleId="style24" w:type="paragraph">
    <w:name w:val="Índice"/>
    <w:basedOn w:val="style0"/>
    <w:next w:val="style24"/>
    <w:pPr>
      <w:suppressLineNumbers/>
    </w:pPr>
    <w:rPr>
      <w:rFonts w:cs="Lohit Hindi"/>
    </w:rPr>
  </w:style>
  <w:style w:styleId="style25" w:type="paragraph">
    <w:name w:val="List Paragraph"/>
    <w:basedOn w:val="style0"/>
    <w:next w:val="style25"/>
    <w:pPr>
      <w:ind w:hanging="0" w:left="720" w:right="0"/>
    </w:pPr>
    <w:rPr/>
  </w:style>
  <w:style w:styleId="style26" w:type="paragraph">
    <w:name w:val="Balloon Text"/>
    <w:basedOn w:val="style0"/>
    <w:next w:val="style26"/>
    <w:pPr>
      <w:spacing w:after="0" w:before="0" w:line="100" w:lineRule="atLeast"/>
    </w:pPr>
    <w:rPr>
      <w:rFonts w:ascii="Tahoma" w:cs="Tahoma" w:hAnsi="Tahoma"/>
      <w:sz w:val="16"/>
      <w:szCs w:val="16"/>
    </w:rPr>
  </w:style>
  <w:style w:styleId="style27" w:type="paragraph">
    <w:name w:val="Bibliography"/>
    <w:basedOn w:val="style0"/>
    <w:next w:val="style2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Template>
  <TotalTime>1</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2012-11-28T02:45:00.00Z</dcterms:created>
  <dc:creator>VERONICA</dc:creator>
  <cp:lastModifiedBy>VERONICA</cp:lastModifiedBy>
  <dcterms:modified xsi:type="dcterms:W3CDTF">2012-11-28T02:45:00.00Z</dcterms:modified>
  <cp:revision>2</cp:revision>
</cp:coreProperties>
</file>